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90583" w14:textId="77777777" w:rsidR="000346DE" w:rsidRDefault="00643081" w:rsidP="00643081">
      <w:pPr>
        <w:pStyle w:val="Heading1"/>
      </w:pPr>
      <w:r>
        <w:t>Using Automated Text Messaging at SRO: Issues and Discussion</w:t>
      </w:r>
    </w:p>
    <w:p w14:paraId="1B3535E1" w14:textId="686E7FDA" w:rsidR="00643081" w:rsidRDefault="00087770">
      <w:r>
        <w:t>September 9, 2024</w:t>
      </w:r>
      <w:bookmarkStart w:id="0" w:name="_GoBack"/>
      <w:bookmarkEnd w:id="0"/>
    </w:p>
    <w:p w14:paraId="6360B08F" w14:textId="127BDD77" w:rsidR="00643081" w:rsidRDefault="00643081">
      <w:r>
        <w:t xml:space="preserve">In July 2021, SRO released a revised policy regarding the frequency with which we </w:t>
      </w:r>
      <w:r w:rsidR="00B554EB">
        <w:t xml:space="preserve">can send an automated text message. </w:t>
      </w:r>
      <w:r w:rsidR="00FD1715">
        <w:t>This update provides clarification on the technical systems that can be used when sending automated text messages and manual text messages.</w:t>
      </w:r>
    </w:p>
    <w:p w14:paraId="0F624428" w14:textId="77777777" w:rsidR="00B554EB" w:rsidRDefault="00B554EB" w:rsidP="00B554EB">
      <w:pPr>
        <w:pStyle w:val="Heading2"/>
      </w:pPr>
      <w:r>
        <w:t>Background</w:t>
      </w:r>
    </w:p>
    <w:p w14:paraId="47DD5CB7" w14:textId="77777777" w:rsidR="00B554EB" w:rsidRDefault="00B554EB">
      <w:r>
        <w:t xml:space="preserve">The legislation guiding our policy is based on the </w:t>
      </w:r>
      <w:hyperlink r:id="rId8" w:history="1">
        <w:r w:rsidRPr="00B554EB">
          <w:rPr>
            <w:rStyle w:val="Hyperlink"/>
          </w:rPr>
          <w:t>1991 Telephone Consumer Protection Act</w:t>
        </w:r>
      </w:hyperlink>
      <w:r w:rsidR="007E3A2A">
        <w:t xml:space="preserve"> (TCPA)</w:t>
      </w:r>
      <w:r>
        <w:t>.</w:t>
      </w:r>
      <w:r w:rsidR="00CF314B">
        <w:t xml:space="preserve"> That act made it unlawful “to make any call (other than a call … made with the prior express consent of the called party) using any automatic telephone dialing system or an artificial or prerecorded voice … to any telephone number assigned to a paging service, cellular telephone service, specialized mobile radio service ….” Additionally, it declared that it was unlawful “to initiate any telephone call to any residential telephone line using an artificial or prerecorded voice to deliver a message without the prior express consent of the called party … [or] to use any telephone facsimile machine, computer or other device to send an unsolicited advertisement to a telephone facsimile machine; or … to use an automatic telephone dialing system in such a way that two or more lines of a multi-line business are engaged simultaneously.”</w:t>
      </w:r>
    </w:p>
    <w:p w14:paraId="123ABC70" w14:textId="77777777" w:rsidR="002F7BC6" w:rsidRDefault="0036124E">
      <w:r>
        <w:t>The law defined an automatic telephone dialing system as “equipment that has the capacity --- (</w:t>
      </w:r>
      <w:r w:rsidR="00163E8D">
        <w:t>A</w:t>
      </w:r>
      <w:r>
        <w:t>) to store or produce telephone numbers to be called, using a random or sequential numbers generator; and (B)</w:t>
      </w:r>
      <w:r w:rsidR="00163E8D">
        <w:t xml:space="preserve"> to dial such numbers.”</w:t>
      </w:r>
    </w:p>
    <w:p w14:paraId="725BD400" w14:textId="77777777" w:rsidR="00163E8D" w:rsidRDefault="002F7BC6">
      <w:r>
        <w:t xml:space="preserve">Congress, the FCC, the courts, and call centers struggled for many years with operationalizing the law particularly as cell phones became the dominant phone system and landlines were increasingly obsolete. Call centers devised systems that were unable to automatically generate numbers and required at least some level of human intervention to place a dial (the so-called “one click” approach), while the FCC clarified through the courts that calls included text messages. The consequences for violations were </w:t>
      </w:r>
      <w:hyperlink r:id="rId9" w:history="1">
        <w:r w:rsidRPr="00097AE8">
          <w:rPr>
            <w:rStyle w:val="Hyperlink"/>
          </w:rPr>
          <w:t>substantial</w:t>
        </w:r>
      </w:hyperlink>
      <w:r>
        <w:t xml:space="preserve">, given statutory damages under the TCPA of $500-$1500 per text or call made. To make matters worse, the FCC issued a </w:t>
      </w:r>
      <w:hyperlink r:id="rId10" w:history="1">
        <w:r w:rsidRPr="00875F3A">
          <w:rPr>
            <w:rStyle w:val="Hyperlink"/>
          </w:rPr>
          <w:t>declaratory ruling</w:t>
        </w:r>
      </w:hyperlink>
      <w:r>
        <w:t xml:space="preserve"> </w:t>
      </w:r>
      <w:r w:rsidR="00875F3A">
        <w:t>in 2015 that essentially left the door open to classify even cell phones as auto dialers even if they were never used that way (section III.A.1).</w:t>
      </w:r>
    </w:p>
    <w:p w14:paraId="47E0F07F" w14:textId="77777777" w:rsidR="00875F3A" w:rsidRDefault="00875F3A" w:rsidP="00875F3A">
      <w:pPr>
        <w:pStyle w:val="Heading2"/>
      </w:pPr>
      <w:r>
        <w:t>Facebook, Inc. v Duguid</w:t>
      </w:r>
    </w:p>
    <w:p w14:paraId="1B771294" w14:textId="33529A5E" w:rsidR="00875F3A" w:rsidRDefault="00875F3A">
      <w:r>
        <w:t xml:space="preserve">On April 1, 2021, the </w:t>
      </w:r>
      <w:hyperlink r:id="rId11" w:history="1">
        <w:r w:rsidRPr="00875F3A">
          <w:rPr>
            <w:rStyle w:val="Hyperlink"/>
          </w:rPr>
          <w:t>U.S. Supreme Court clarified</w:t>
        </w:r>
      </w:hyperlink>
      <w:r>
        <w:t xml:space="preserve"> that equipment such as Facebook’s login notification information </w:t>
      </w:r>
      <w:r w:rsidR="00FA4C2F">
        <w:t xml:space="preserve">and, by extension, cell phones, do not qualify as “auto dialers” </w:t>
      </w:r>
      <w:r>
        <w:t xml:space="preserve">as long as </w:t>
      </w:r>
      <w:r w:rsidR="00097AE8">
        <w:t>the system</w:t>
      </w:r>
      <w:r>
        <w:t xml:space="preserve"> does not use </w:t>
      </w:r>
      <w:r w:rsidR="00097AE8">
        <w:t>random or sequential number generators</w:t>
      </w:r>
      <w:r w:rsidR="00FA4C2F">
        <w:t>.</w:t>
      </w:r>
    </w:p>
    <w:p w14:paraId="42107475" w14:textId="77777777" w:rsidR="00097AE8" w:rsidRDefault="007E3A2A" w:rsidP="00097AE8">
      <w:pPr>
        <w:pStyle w:val="Heading2"/>
      </w:pPr>
      <w:r>
        <w:t>SRC</w:t>
      </w:r>
      <w:r w:rsidR="00097AE8">
        <w:t xml:space="preserve"> Discussions</w:t>
      </w:r>
    </w:p>
    <w:p w14:paraId="0C508B4B" w14:textId="77777777" w:rsidR="009E691A" w:rsidRDefault="00097AE8">
      <w:r>
        <w:t xml:space="preserve">SRO representatives also met with the U-M Office of General Counsel (OGC) </w:t>
      </w:r>
      <w:r w:rsidR="007E3A2A">
        <w:t xml:space="preserve">and the SRC Director </w:t>
      </w:r>
      <w:r>
        <w:t>to discuss implications of the Duguid decision as well as other remaining, unresolved issues within the TCPA</w:t>
      </w:r>
      <w:r w:rsidR="007E3A2A">
        <w:t>. We resolved that</w:t>
      </w:r>
      <w:r w:rsidR="00C95B0B">
        <w:t>:</w:t>
      </w:r>
    </w:p>
    <w:p w14:paraId="08FC671C" w14:textId="365F9347" w:rsidR="00097AE8" w:rsidRDefault="009E691A" w:rsidP="009E691A">
      <w:pPr>
        <w:pStyle w:val="ListParagraph"/>
        <w:numPr>
          <w:ilvl w:val="0"/>
          <w:numId w:val="1"/>
        </w:numPr>
      </w:pPr>
      <w:r>
        <w:t>I</w:t>
      </w:r>
      <w:r w:rsidR="007E3A2A">
        <w:t>t was relatively risk</w:t>
      </w:r>
      <w:r w:rsidR="00C95B0B">
        <w:t>-</w:t>
      </w:r>
      <w:r w:rsidR="007E3A2A">
        <w:t>free to manually send texts via a cell phone and removed restrictions on that.</w:t>
      </w:r>
    </w:p>
    <w:p w14:paraId="560C4CC0" w14:textId="2047BD78" w:rsidR="007E3A2A" w:rsidRDefault="009E691A" w:rsidP="009E691A">
      <w:pPr>
        <w:pStyle w:val="ListParagraph"/>
        <w:numPr>
          <w:ilvl w:val="0"/>
          <w:numId w:val="1"/>
        </w:numPr>
      </w:pPr>
      <w:r>
        <w:lastRenderedPageBreak/>
        <w:t>S</w:t>
      </w:r>
      <w:r w:rsidR="007E3A2A">
        <w:t xml:space="preserve">ystems designed for automated or batch delivery – even if we </w:t>
      </w:r>
      <w:r w:rsidR="00B52395">
        <w:t>did not</w:t>
      </w:r>
      <w:r w:rsidR="007E3A2A">
        <w:t xml:space="preserve"> use them </w:t>
      </w:r>
      <w:r w:rsidR="00C95B0B">
        <w:t xml:space="preserve">in </w:t>
      </w:r>
      <w:r w:rsidR="007E3A2A">
        <w:t xml:space="preserve">this way – would </w:t>
      </w:r>
      <w:r w:rsidR="00B52395">
        <w:t xml:space="preserve">require </w:t>
      </w:r>
      <w:r w:rsidR="007E3A2A">
        <w:t xml:space="preserve">explicit consent </w:t>
      </w:r>
      <w:r>
        <w:t xml:space="preserve">from </w:t>
      </w:r>
      <w:r w:rsidR="00DF65EA">
        <w:t>r</w:t>
      </w:r>
      <w:r>
        <w:t xml:space="preserve">espondents before </w:t>
      </w:r>
      <w:r w:rsidR="00B52395">
        <w:t xml:space="preserve">our use </w:t>
      </w:r>
      <w:r>
        <w:t>for any kind of text message delivery</w:t>
      </w:r>
      <w:r>
        <w:rPr>
          <w:rStyle w:val="FootnoteReference"/>
        </w:rPr>
        <w:footnoteReference w:id="1"/>
      </w:r>
      <w:r>
        <w:t>.</w:t>
      </w:r>
    </w:p>
    <w:p w14:paraId="30E948B4" w14:textId="60CB91C6" w:rsidR="002D3E6D" w:rsidRPr="002D3E6D" w:rsidRDefault="002D3E6D">
      <w:r>
        <w:t xml:space="preserve">The main concern is what the </w:t>
      </w:r>
      <w:r>
        <w:rPr>
          <w:i/>
        </w:rPr>
        <w:t>system</w:t>
      </w:r>
      <w:r>
        <w:t xml:space="preserve"> is designed to do. A</w:t>
      </w:r>
      <w:r w:rsidR="00B52395">
        <w:t>e</w:t>
      </w:r>
      <w:r>
        <w:t xml:space="preserve">rialink, for example, was clearly designed to store (and maybe even generate) phone numbers AND then dial them. Blaise SMS falls into this category as well. As a result, these are classified as auto dialers and have a different level of scrutiny than use of a </w:t>
      </w:r>
      <w:r w:rsidR="00785E57">
        <w:t xml:space="preserve">cell </w:t>
      </w:r>
      <w:r>
        <w:t>phone.</w:t>
      </w:r>
    </w:p>
    <w:p w14:paraId="0096EAE6" w14:textId="1DEA5AFB" w:rsidR="009E691A" w:rsidRDefault="00146089">
      <w:r>
        <w:t>An ongoing concern was how to think about consent given that people often change phones</w:t>
      </w:r>
      <w:r>
        <w:rPr>
          <w:rStyle w:val="FootnoteReference"/>
        </w:rPr>
        <w:footnoteReference w:id="2"/>
      </w:r>
      <w:r>
        <w:t xml:space="preserve">. We considered – and continue to consider – using the </w:t>
      </w:r>
      <w:hyperlink r:id="rId12" w:history="1">
        <w:r w:rsidRPr="00146089">
          <w:rPr>
            <w:rStyle w:val="Hyperlink"/>
          </w:rPr>
          <w:t>FCC’s Reassigned Numbers database</w:t>
        </w:r>
      </w:hyperlink>
      <w:r>
        <w:t xml:space="preserve"> to help us track the </w:t>
      </w:r>
      <w:r w:rsidR="00B52395">
        <w:t>ownership of phone numbers respondent have</w:t>
      </w:r>
      <w:r>
        <w:t xml:space="preserve"> given us consent to </w:t>
      </w:r>
      <w:r w:rsidR="0062108F">
        <w:t>use</w:t>
      </w:r>
      <w:r w:rsidR="00A76662">
        <w:t>, but there are technical issues that need to be worked through in the implementation of this system.</w:t>
      </w:r>
    </w:p>
    <w:p w14:paraId="38BE344D" w14:textId="77777777" w:rsidR="00A76662" w:rsidRDefault="00A76662">
      <w:r>
        <w:t>In the meantime, we know that the general FCC guidelines require that a number has to be dormant for at least 30 days prior to reassignment. Therefore, in the absence of any other information, we determined that we would only allow one (1) text message from an auto dialer system every 30 days. This would allow people with a reassigned number a chance to inform us that the number was new to them and opt out of future communications. The FCC allows one inadvertent text without penalty.</w:t>
      </w:r>
    </w:p>
    <w:p w14:paraId="73E93108" w14:textId="429D3E3E" w:rsidR="00A76662" w:rsidRDefault="00097463">
      <w:r>
        <w:t>As a result</w:t>
      </w:r>
      <w:r w:rsidR="00EB7E2B">
        <w:t>, we determined that as a general rule</w:t>
      </w:r>
      <w:r w:rsidR="00374973">
        <w:t>:</w:t>
      </w:r>
    </w:p>
    <w:p w14:paraId="444C8CB6" w14:textId="57DC442C" w:rsidR="00EB7E2B" w:rsidRDefault="00EB7E2B" w:rsidP="00EB7E2B">
      <w:pPr>
        <w:pStyle w:val="ListParagraph"/>
        <w:numPr>
          <w:ilvl w:val="0"/>
          <w:numId w:val="2"/>
        </w:numPr>
      </w:pPr>
      <w:r>
        <w:t>We can use auto delivery</w:t>
      </w:r>
      <w:r w:rsidR="00097463">
        <w:t xml:space="preserve"> for a ‘reasonable’</w:t>
      </w:r>
      <w:r w:rsidR="00097463">
        <w:rPr>
          <w:rStyle w:val="FootnoteReference"/>
        </w:rPr>
        <w:footnoteReference w:id="3"/>
      </w:r>
      <w:r w:rsidR="00097463">
        <w:t xml:space="preserve"> number of contact attempts</w:t>
      </w:r>
      <w:r>
        <w:t xml:space="preserve"> if we have a confirmatory response from someone who has previously provided consent to receive a text message within 30 days</w:t>
      </w:r>
    </w:p>
    <w:p w14:paraId="017F27E1" w14:textId="4B857EE5" w:rsidR="00097463" w:rsidRDefault="00097463" w:rsidP="00097463">
      <w:pPr>
        <w:pStyle w:val="ListParagraph"/>
        <w:numPr>
          <w:ilvl w:val="0"/>
          <w:numId w:val="2"/>
        </w:numPr>
      </w:pPr>
      <w:r>
        <w:t>We can use an auto delivery system for a reasonable number of contact attempts if a respondent who previously provided consent to contact them via text has also been contacted on that number within the last 90 days as we believe it is likely that the respondent will still have the phone number</w:t>
      </w:r>
    </w:p>
    <w:p w14:paraId="47BF0E2A" w14:textId="1BF35495" w:rsidR="00EB7E2B" w:rsidRDefault="00EB7E2B" w:rsidP="00EB7E2B">
      <w:pPr>
        <w:pStyle w:val="ListParagraph"/>
        <w:numPr>
          <w:ilvl w:val="0"/>
          <w:numId w:val="2"/>
        </w:numPr>
      </w:pPr>
      <w:r>
        <w:t xml:space="preserve">If we received consent to send a text message within </w:t>
      </w:r>
      <w:r w:rsidR="00374973">
        <w:t>two</w:t>
      </w:r>
      <w:r>
        <w:t xml:space="preserve"> years, we can send one (1) text message using an aut</w:t>
      </w:r>
      <w:r w:rsidR="00097463">
        <w:t xml:space="preserve">o delivery system every 30 days, absent any other information indicating that the number is </w:t>
      </w:r>
      <w:r w:rsidR="00DD5D31">
        <w:t>no longer</w:t>
      </w:r>
      <w:r w:rsidR="00097463">
        <w:t xml:space="preserve"> held by that respondent</w:t>
      </w:r>
    </w:p>
    <w:p w14:paraId="078F3841" w14:textId="2D7D346A" w:rsidR="00DC1787" w:rsidRDefault="00DC1787" w:rsidP="00EB7E2B">
      <w:pPr>
        <w:pStyle w:val="ListParagraph"/>
        <w:numPr>
          <w:ilvl w:val="0"/>
          <w:numId w:val="2"/>
        </w:numPr>
      </w:pPr>
      <w:r>
        <w:t>Manual texting from a cell phone, not an auto dialer system, is allowed</w:t>
      </w:r>
      <w:r w:rsidR="00097463">
        <w:t>. Obtaining prior respondent consent to text is best practice</w:t>
      </w:r>
      <w:r>
        <w:t>.</w:t>
      </w:r>
    </w:p>
    <w:p w14:paraId="1C6DC4AC" w14:textId="79119F28" w:rsidR="002D3E6D" w:rsidRDefault="002D3E6D" w:rsidP="002D3E6D">
      <w:r>
        <w:t xml:space="preserve">If there is a pressing need to modify these constraints we encourage the project or production lead to reach out to Grant Benson </w:t>
      </w:r>
      <w:r w:rsidR="00087770">
        <w:t xml:space="preserve">and Shonda Kruger Ndiaye </w:t>
      </w:r>
      <w:r>
        <w:t>for further guidance.</w:t>
      </w:r>
    </w:p>
    <w:p w14:paraId="3A1EB0A9" w14:textId="77777777" w:rsidR="00A16359" w:rsidRDefault="00A16359" w:rsidP="00A16359">
      <w:pPr>
        <w:pStyle w:val="Heading2"/>
      </w:pPr>
      <w:r>
        <w:t>Continuing Concerns</w:t>
      </w:r>
    </w:p>
    <w:p w14:paraId="466C0362" w14:textId="56182670" w:rsidR="00A16359" w:rsidRPr="002D3E6D" w:rsidRDefault="002D3E6D">
      <w:r>
        <w:t xml:space="preserve">While the </w:t>
      </w:r>
      <w:r>
        <w:rPr>
          <w:i/>
        </w:rPr>
        <w:t>Duguid</w:t>
      </w:r>
      <w:r>
        <w:t xml:space="preserve"> decision clarified some key concerns for us, there are many outstanding issues. Unfortunately, these are compounded by new laws at the national, state, or local level. We cannot possibly track all of these, but one recent example is the </w:t>
      </w:r>
      <w:hyperlink r:id="rId13" w:history="1">
        <w:r w:rsidRPr="002D3E6D">
          <w:rPr>
            <w:rStyle w:val="Hyperlink"/>
          </w:rPr>
          <w:t>Stop the Spam Calls Act</w:t>
        </w:r>
      </w:hyperlink>
      <w:r>
        <w:t xml:space="preserve"> that went into law in Maryland on May 3, 2023. This law requires prior </w:t>
      </w:r>
      <w:r>
        <w:rPr>
          <w:i/>
        </w:rPr>
        <w:t xml:space="preserve">written </w:t>
      </w:r>
      <w:r>
        <w:t>consent</w:t>
      </w:r>
      <w:r w:rsidR="00DE301F">
        <w:t xml:space="preserve"> to communicate by telephone with </w:t>
      </w:r>
      <w:r w:rsidR="00DE301F">
        <w:lastRenderedPageBreak/>
        <w:t>residents of Maryland to “(iv) conduct or attempt to conduct a poll; or (v) request or attempt to request survey information, if the results of the survey will be used directly to solicit persons to purchase, lease, or rent goods or services.” Fortunately, for most (all?) of our activities, we are exempt from the Maryland law as we fall under the carve out for “religious, charitable, political, or educational purposes</w:t>
      </w:r>
      <w:r w:rsidR="00707151">
        <w:t>.</w:t>
      </w:r>
      <w:r w:rsidR="00DE301F">
        <w:t>”</w:t>
      </w:r>
    </w:p>
    <w:sectPr w:rsidR="00A16359" w:rsidRPr="002D3E6D" w:rsidSect="004A42EC">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56E34" w14:textId="77777777" w:rsidR="00DA3154" w:rsidRDefault="00DA3154" w:rsidP="00097AE8">
      <w:pPr>
        <w:spacing w:after="0" w:line="240" w:lineRule="auto"/>
      </w:pPr>
      <w:r>
        <w:separator/>
      </w:r>
    </w:p>
  </w:endnote>
  <w:endnote w:type="continuationSeparator" w:id="0">
    <w:p w14:paraId="2744863F" w14:textId="77777777" w:rsidR="00DA3154" w:rsidRDefault="00DA3154" w:rsidP="0009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724632"/>
      <w:docPartObj>
        <w:docPartGallery w:val="Page Numbers (Bottom of Page)"/>
        <w:docPartUnique/>
      </w:docPartObj>
    </w:sdtPr>
    <w:sdtEndPr>
      <w:rPr>
        <w:noProof/>
      </w:rPr>
    </w:sdtEndPr>
    <w:sdtContent>
      <w:p w14:paraId="355E06B5" w14:textId="47D63C3B" w:rsidR="00097AE8" w:rsidRDefault="00097AE8">
        <w:pPr>
          <w:pStyle w:val="Footer"/>
          <w:jc w:val="center"/>
        </w:pPr>
        <w:r>
          <w:fldChar w:fldCharType="begin"/>
        </w:r>
        <w:r>
          <w:instrText xml:space="preserve"> PAGE   \* MERGEFORMAT </w:instrText>
        </w:r>
        <w:r>
          <w:fldChar w:fldCharType="separate"/>
        </w:r>
        <w:r w:rsidR="00087770">
          <w:rPr>
            <w:noProof/>
          </w:rPr>
          <w:t>3</w:t>
        </w:r>
        <w:r>
          <w:rPr>
            <w:noProof/>
          </w:rPr>
          <w:fldChar w:fldCharType="end"/>
        </w:r>
      </w:p>
    </w:sdtContent>
  </w:sdt>
  <w:p w14:paraId="733427AA" w14:textId="77777777" w:rsidR="00097AE8" w:rsidRDefault="0009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B6A7" w14:textId="77777777" w:rsidR="00DA3154" w:rsidRDefault="00DA3154" w:rsidP="00097AE8">
      <w:pPr>
        <w:spacing w:after="0" w:line="240" w:lineRule="auto"/>
      </w:pPr>
      <w:r>
        <w:separator/>
      </w:r>
    </w:p>
  </w:footnote>
  <w:footnote w:type="continuationSeparator" w:id="0">
    <w:p w14:paraId="523EF54C" w14:textId="77777777" w:rsidR="00DA3154" w:rsidRDefault="00DA3154" w:rsidP="00097AE8">
      <w:pPr>
        <w:spacing w:after="0" w:line="240" w:lineRule="auto"/>
      </w:pPr>
      <w:r>
        <w:continuationSeparator/>
      </w:r>
    </w:p>
  </w:footnote>
  <w:footnote w:id="1">
    <w:p w14:paraId="1AB7F1A5" w14:textId="77777777" w:rsidR="009E691A" w:rsidRDefault="009E691A">
      <w:pPr>
        <w:pStyle w:val="FootnoteText"/>
      </w:pPr>
      <w:r>
        <w:rPr>
          <w:rStyle w:val="FootnoteReference"/>
        </w:rPr>
        <w:footnoteRef/>
      </w:r>
      <w:r>
        <w:t xml:space="preserve"> We don’t use automated dialing for our telephone calls and so did not discuss implications for dialing.</w:t>
      </w:r>
    </w:p>
  </w:footnote>
  <w:footnote w:id="2">
    <w:p w14:paraId="1DBE0B0E" w14:textId="77777777" w:rsidR="00146089" w:rsidRDefault="00146089">
      <w:pPr>
        <w:pStyle w:val="FootnoteText"/>
      </w:pPr>
      <w:r>
        <w:rPr>
          <w:rStyle w:val="FootnoteReference"/>
        </w:rPr>
        <w:footnoteRef/>
      </w:r>
      <w:r>
        <w:t xml:space="preserve"> The FCC estimated in 2016 that 35 million phone numbers are disconnected and aged out each year, and 100,000 numbers are reassigned daily (</w:t>
      </w:r>
      <w:r w:rsidRPr="00146089">
        <w:t>https://docs.fcc.gov/public/attachments/FCC-17-90A1.pdf</w:t>
      </w:r>
      <w:r>
        <w:t>).</w:t>
      </w:r>
    </w:p>
  </w:footnote>
  <w:footnote w:id="3">
    <w:p w14:paraId="38302693" w14:textId="3B5A6DE8" w:rsidR="00097463" w:rsidRDefault="00097463">
      <w:pPr>
        <w:pStyle w:val="FootnoteText"/>
      </w:pPr>
      <w:r>
        <w:rPr>
          <w:rStyle w:val="FootnoteReference"/>
        </w:rPr>
        <w:footnoteRef/>
      </w:r>
      <w:r>
        <w:t xml:space="preserve"> We appeal to the ‘reasonable person’ standard here and it is contextual based on a number of different factors. Multiple texts in a day are unlikely to ever be considered reasonable. A daily text is likely to be deemed reasonable for a situation where there is a daily diary involved, but may be unreasonable for other situations.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4C10"/>
    <w:multiLevelType w:val="hybridMultilevel"/>
    <w:tmpl w:val="87CE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81E26"/>
    <w:multiLevelType w:val="hybridMultilevel"/>
    <w:tmpl w:val="5F9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81"/>
    <w:rsid w:val="000346DE"/>
    <w:rsid w:val="00087770"/>
    <w:rsid w:val="00097463"/>
    <w:rsid w:val="00097AE8"/>
    <w:rsid w:val="00146089"/>
    <w:rsid w:val="00163E8D"/>
    <w:rsid w:val="0021275B"/>
    <w:rsid w:val="00224F2A"/>
    <w:rsid w:val="002B530E"/>
    <w:rsid w:val="002D3E6D"/>
    <w:rsid w:val="002D4913"/>
    <w:rsid w:val="002F7BC6"/>
    <w:rsid w:val="0036124E"/>
    <w:rsid w:val="00374973"/>
    <w:rsid w:val="003A32FA"/>
    <w:rsid w:val="004A42EC"/>
    <w:rsid w:val="0062108F"/>
    <w:rsid w:val="00643081"/>
    <w:rsid w:val="006F5B4F"/>
    <w:rsid w:val="00707151"/>
    <w:rsid w:val="00785E57"/>
    <w:rsid w:val="007E3A2A"/>
    <w:rsid w:val="00830648"/>
    <w:rsid w:val="00875F3A"/>
    <w:rsid w:val="008B68B2"/>
    <w:rsid w:val="008C593C"/>
    <w:rsid w:val="00962A38"/>
    <w:rsid w:val="00990A29"/>
    <w:rsid w:val="009B393C"/>
    <w:rsid w:val="009E691A"/>
    <w:rsid w:val="00A16359"/>
    <w:rsid w:val="00A236D9"/>
    <w:rsid w:val="00A52CF9"/>
    <w:rsid w:val="00A55402"/>
    <w:rsid w:val="00A76662"/>
    <w:rsid w:val="00B52395"/>
    <w:rsid w:val="00B554EB"/>
    <w:rsid w:val="00C95B0B"/>
    <w:rsid w:val="00C97B9F"/>
    <w:rsid w:val="00CF314B"/>
    <w:rsid w:val="00D73817"/>
    <w:rsid w:val="00DA3154"/>
    <w:rsid w:val="00DC1787"/>
    <w:rsid w:val="00DD5D31"/>
    <w:rsid w:val="00DE301F"/>
    <w:rsid w:val="00DF65EA"/>
    <w:rsid w:val="00EB7E2B"/>
    <w:rsid w:val="00FA4C2F"/>
    <w:rsid w:val="00FD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E2C3"/>
  <w15:chartTrackingRefBased/>
  <w15:docId w15:val="{35EA46C6-1B64-4A8D-A5BA-AE74800C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4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Tables">
    <w:name w:val="Stata Tables"/>
    <w:basedOn w:val="Normal"/>
    <w:qFormat/>
    <w:rsid w:val="00A55402"/>
    <w:pPr>
      <w:spacing w:after="0" w:line="240" w:lineRule="auto"/>
    </w:pPr>
    <w:rPr>
      <w:rFonts w:ascii="Courier New" w:hAnsi="Courier New" w:cs="Courier New"/>
      <w:sz w:val="20"/>
      <w:szCs w:val="20"/>
    </w:rPr>
  </w:style>
  <w:style w:type="character" w:customStyle="1" w:styleId="Heading1Char">
    <w:name w:val="Heading 1 Char"/>
    <w:basedOn w:val="DefaultParagraphFont"/>
    <w:link w:val="Heading1"/>
    <w:uiPriority w:val="9"/>
    <w:rsid w:val="006430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54E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554EB"/>
    <w:rPr>
      <w:color w:val="0563C1" w:themeColor="hyperlink"/>
      <w:u w:val="single"/>
    </w:rPr>
  </w:style>
  <w:style w:type="paragraph" w:styleId="Header">
    <w:name w:val="header"/>
    <w:basedOn w:val="Normal"/>
    <w:link w:val="HeaderChar"/>
    <w:uiPriority w:val="99"/>
    <w:unhideWhenUsed/>
    <w:rsid w:val="0009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AE8"/>
  </w:style>
  <w:style w:type="paragraph" w:styleId="Footer">
    <w:name w:val="footer"/>
    <w:basedOn w:val="Normal"/>
    <w:link w:val="FooterChar"/>
    <w:uiPriority w:val="99"/>
    <w:unhideWhenUsed/>
    <w:rsid w:val="0009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AE8"/>
  </w:style>
  <w:style w:type="paragraph" w:styleId="ListParagraph">
    <w:name w:val="List Paragraph"/>
    <w:basedOn w:val="Normal"/>
    <w:uiPriority w:val="34"/>
    <w:qFormat/>
    <w:rsid w:val="009E691A"/>
    <w:pPr>
      <w:ind w:left="720"/>
      <w:contextualSpacing/>
    </w:pPr>
  </w:style>
  <w:style w:type="paragraph" w:styleId="FootnoteText">
    <w:name w:val="footnote text"/>
    <w:basedOn w:val="Normal"/>
    <w:link w:val="FootnoteTextChar"/>
    <w:uiPriority w:val="99"/>
    <w:semiHidden/>
    <w:unhideWhenUsed/>
    <w:rsid w:val="009E6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91A"/>
    <w:rPr>
      <w:sz w:val="20"/>
      <w:szCs w:val="20"/>
    </w:rPr>
  </w:style>
  <w:style w:type="character" w:styleId="FootnoteReference">
    <w:name w:val="footnote reference"/>
    <w:basedOn w:val="DefaultParagraphFont"/>
    <w:uiPriority w:val="99"/>
    <w:semiHidden/>
    <w:unhideWhenUsed/>
    <w:rsid w:val="009E691A"/>
    <w:rPr>
      <w:vertAlign w:val="superscript"/>
    </w:rPr>
  </w:style>
  <w:style w:type="paragraph" w:styleId="BalloonText">
    <w:name w:val="Balloon Text"/>
    <w:basedOn w:val="Normal"/>
    <w:link w:val="BalloonTextChar"/>
    <w:uiPriority w:val="99"/>
    <w:semiHidden/>
    <w:unhideWhenUsed/>
    <w:rsid w:val="004A4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2EC"/>
    <w:rPr>
      <w:rFonts w:ascii="Segoe UI" w:hAnsi="Segoe UI" w:cs="Segoe UI"/>
      <w:sz w:val="18"/>
      <w:szCs w:val="18"/>
    </w:rPr>
  </w:style>
  <w:style w:type="character" w:styleId="CommentReference">
    <w:name w:val="annotation reference"/>
    <w:basedOn w:val="DefaultParagraphFont"/>
    <w:uiPriority w:val="99"/>
    <w:semiHidden/>
    <w:unhideWhenUsed/>
    <w:rsid w:val="00C97B9F"/>
    <w:rPr>
      <w:sz w:val="16"/>
      <w:szCs w:val="16"/>
    </w:rPr>
  </w:style>
  <w:style w:type="paragraph" w:styleId="CommentText">
    <w:name w:val="annotation text"/>
    <w:basedOn w:val="Normal"/>
    <w:link w:val="CommentTextChar"/>
    <w:uiPriority w:val="99"/>
    <w:semiHidden/>
    <w:unhideWhenUsed/>
    <w:rsid w:val="00C97B9F"/>
    <w:pPr>
      <w:spacing w:line="240" w:lineRule="auto"/>
    </w:pPr>
    <w:rPr>
      <w:sz w:val="20"/>
      <w:szCs w:val="20"/>
    </w:rPr>
  </w:style>
  <w:style w:type="character" w:customStyle="1" w:styleId="CommentTextChar">
    <w:name w:val="Comment Text Char"/>
    <w:basedOn w:val="DefaultParagraphFont"/>
    <w:link w:val="CommentText"/>
    <w:uiPriority w:val="99"/>
    <w:semiHidden/>
    <w:rsid w:val="00C97B9F"/>
    <w:rPr>
      <w:sz w:val="20"/>
      <w:szCs w:val="20"/>
    </w:rPr>
  </w:style>
  <w:style w:type="paragraph" w:styleId="CommentSubject">
    <w:name w:val="annotation subject"/>
    <w:basedOn w:val="CommentText"/>
    <w:next w:val="CommentText"/>
    <w:link w:val="CommentSubjectChar"/>
    <w:uiPriority w:val="99"/>
    <w:semiHidden/>
    <w:unhideWhenUsed/>
    <w:rsid w:val="00C97B9F"/>
    <w:rPr>
      <w:b/>
      <w:bCs/>
    </w:rPr>
  </w:style>
  <w:style w:type="character" w:customStyle="1" w:styleId="CommentSubjectChar">
    <w:name w:val="Comment Subject Char"/>
    <w:basedOn w:val="CommentTextChar"/>
    <w:link w:val="CommentSubject"/>
    <w:uiPriority w:val="99"/>
    <w:semiHidden/>
    <w:rsid w:val="00C97B9F"/>
    <w:rPr>
      <w:b/>
      <w:bCs/>
      <w:sz w:val="20"/>
      <w:szCs w:val="20"/>
    </w:rPr>
  </w:style>
  <w:style w:type="character" w:styleId="FollowedHyperlink">
    <w:name w:val="FollowedHyperlink"/>
    <w:basedOn w:val="DefaultParagraphFont"/>
    <w:uiPriority w:val="99"/>
    <w:semiHidden/>
    <w:unhideWhenUsed/>
    <w:rsid w:val="00A52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02nd-congress/senate-bill/1462/text" TargetMode="External"/><Relationship Id="rId13" Type="http://schemas.openxmlformats.org/officeDocument/2006/relationships/hyperlink" Target="https://mgaleg.maryland.gov/2023RS/bills/sb/sb0090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reassigned-numbers-databa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remecourt.gov/opinions/20pdf/19-511_p86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fcc.gov/public/attachments/FCC-15-72A1.pdf" TargetMode="External"/><Relationship Id="rId4" Type="http://schemas.openxmlformats.org/officeDocument/2006/relationships/settings" Target="settings.xml"/><Relationship Id="rId9" Type="http://schemas.openxmlformats.org/officeDocument/2006/relationships/hyperlink" Target="https://www.americanbanker.com/news/gallup-settles-tcpa-laws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1F25-E51E-407C-8626-CF358C3D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Benson</dc:creator>
  <cp:keywords/>
  <dc:description/>
  <cp:lastModifiedBy>Shonda Kruger-Ndiaye</cp:lastModifiedBy>
  <cp:revision>2</cp:revision>
  <dcterms:created xsi:type="dcterms:W3CDTF">2024-09-09T20:42:00Z</dcterms:created>
  <dcterms:modified xsi:type="dcterms:W3CDTF">2024-09-09T20:42:00Z</dcterms:modified>
</cp:coreProperties>
</file>