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0C41F" w14:textId="7F0BDBB6" w:rsidR="00C13EE0" w:rsidRDefault="00160841" w:rsidP="00160841">
      <w:pPr>
        <w:pStyle w:val="Heading1"/>
      </w:pPr>
      <w:r>
        <w:t xml:space="preserve">Recording Phone Calls: </w:t>
      </w:r>
      <w:r w:rsidR="00815D95">
        <w:t>Guidelines for obtaining and recording consent to record</w:t>
      </w:r>
    </w:p>
    <w:p w14:paraId="5410974E" w14:textId="20974C35" w:rsidR="00160841" w:rsidRDefault="000F32B5">
      <w:r>
        <w:t xml:space="preserve">Updated </w:t>
      </w:r>
      <w:r w:rsidR="007B5F93">
        <w:t xml:space="preserve">September </w:t>
      </w:r>
      <w:r w:rsidR="00217693">
        <w:t>22</w:t>
      </w:r>
      <w:bookmarkStart w:id="0" w:name="_GoBack"/>
      <w:bookmarkEnd w:id="0"/>
      <w:r w:rsidR="007B5F93">
        <w:t>, 2021</w:t>
      </w:r>
    </w:p>
    <w:p w14:paraId="1B89651A" w14:textId="77777777" w:rsidR="00160841" w:rsidRDefault="00160841" w:rsidP="00160841">
      <w:pPr>
        <w:pStyle w:val="Heading2"/>
      </w:pPr>
      <w:r>
        <w:t>Background</w:t>
      </w:r>
    </w:p>
    <w:p w14:paraId="00F86127" w14:textId="77777777" w:rsidR="00160841" w:rsidRDefault="00160841">
      <w:r>
        <w:t xml:space="preserve">Federal and state wiretapping laws require that at least one participant </w:t>
      </w:r>
      <w:r w:rsidR="00EE29AE">
        <w:t xml:space="preserve">in </w:t>
      </w:r>
      <w:r>
        <w:t>a phone call or in-person conversation provide consent to be recorded. Several states (including Michigan) have additional and related ‘eavesdropping’ laws that make it illegal to capture incidental recordings of individuals who are not participants to the conversation. Federal law (18 U.S.C. 2511(2</w:t>
      </w:r>
      <w:proofErr w:type="gramStart"/>
      <w:r>
        <w:t>)(</w:t>
      </w:r>
      <w:proofErr w:type="gramEnd"/>
      <w:r>
        <w:t>d)) requires single consent to record, meaning at least one party to the conversation has to consent to be recorded. SRO addresses this in our commitment statements by ensuring that interviewers provide consent to be recorded.</w:t>
      </w:r>
    </w:p>
    <w:p w14:paraId="53B3CC50" w14:textId="77777777" w:rsidR="00160841" w:rsidRDefault="00160841" w:rsidP="00160841">
      <w:pPr>
        <w:pStyle w:val="Heading2"/>
      </w:pPr>
      <w:r>
        <w:t>Two-Party Consent States</w:t>
      </w:r>
    </w:p>
    <w:p w14:paraId="33B20D47" w14:textId="77777777" w:rsidR="00160841" w:rsidRDefault="00160841">
      <w:r>
        <w:t>There are 11 states that require two-party consent must be obtained. These are:</w:t>
      </w:r>
    </w:p>
    <w:p w14:paraId="50B43788" w14:textId="77777777" w:rsidR="00EE29AE" w:rsidRDefault="00EE29AE" w:rsidP="00160841">
      <w:pPr>
        <w:pStyle w:val="ListParagraph"/>
        <w:numPr>
          <w:ilvl w:val="0"/>
          <w:numId w:val="1"/>
        </w:numPr>
        <w:sectPr w:rsidR="00EE29AE">
          <w:pgSz w:w="12240" w:h="15840"/>
          <w:pgMar w:top="1440" w:right="1440" w:bottom="1440" w:left="1440" w:header="720" w:footer="720" w:gutter="0"/>
          <w:cols w:space="720"/>
          <w:docGrid w:linePitch="360"/>
        </w:sectPr>
      </w:pPr>
    </w:p>
    <w:p w14:paraId="2CC334F9" w14:textId="77777777" w:rsidR="00160841" w:rsidRDefault="00160841" w:rsidP="00160841">
      <w:pPr>
        <w:pStyle w:val="ListParagraph"/>
        <w:numPr>
          <w:ilvl w:val="0"/>
          <w:numId w:val="1"/>
        </w:numPr>
      </w:pPr>
      <w:r>
        <w:t>California</w:t>
      </w:r>
    </w:p>
    <w:p w14:paraId="57D402C2" w14:textId="77777777" w:rsidR="00160841" w:rsidRDefault="00160841" w:rsidP="00160841">
      <w:pPr>
        <w:pStyle w:val="ListParagraph"/>
        <w:numPr>
          <w:ilvl w:val="0"/>
          <w:numId w:val="1"/>
        </w:numPr>
      </w:pPr>
      <w:r>
        <w:t>Connecticut</w:t>
      </w:r>
    </w:p>
    <w:p w14:paraId="7B7A9F32" w14:textId="77777777" w:rsidR="00160841" w:rsidRDefault="00160841" w:rsidP="00160841">
      <w:pPr>
        <w:pStyle w:val="ListParagraph"/>
        <w:numPr>
          <w:ilvl w:val="0"/>
          <w:numId w:val="1"/>
        </w:numPr>
      </w:pPr>
      <w:r>
        <w:t>Florida</w:t>
      </w:r>
    </w:p>
    <w:p w14:paraId="2A3A2F63" w14:textId="77777777" w:rsidR="001C59FD" w:rsidRDefault="001C59FD" w:rsidP="00160841">
      <w:pPr>
        <w:pStyle w:val="ListParagraph"/>
        <w:numPr>
          <w:ilvl w:val="0"/>
          <w:numId w:val="1"/>
        </w:numPr>
      </w:pPr>
      <w:r>
        <w:t>Hawaii (if with another state)</w:t>
      </w:r>
    </w:p>
    <w:p w14:paraId="1538A3F0" w14:textId="77777777" w:rsidR="00160841" w:rsidRDefault="00160841" w:rsidP="00160841">
      <w:pPr>
        <w:pStyle w:val="ListParagraph"/>
        <w:numPr>
          <w:ilvl w:val="0"/>
          <w:numId w:val="1"/>
        </w:numPr>
      </w:pPr>
      <w:r>
        <w:t>Illinois</w:t>
      </w:r>
    </w:p>
    <w:p w14:paraId="38F5DFCA" w14:textId="77777777" w:rsidR="00160841" w:rsidRDefault="00160841" w:rsidP="00160841">
      <w:pPr>
        <w:pStyle w:val="ListParagraph"/>
        <w:numPr>
          <w:ilvl w:val="0"/>
          <w:numId w:val="1"/>
        </w:numPr>
      </w:pPr>
      <w:r>
        <w:t>Maryland</w:t>
      </w:r>
    </w:p>
    <w:p w14:paraId="4B972BAA" w14:textId="77777777" w:rsidR="00160841" w:rsidRDefault="00160841" w:rsidP="00160841">
      <w:pPr>
        <w:pStyle w:val="ListParagraph"/>
        <w:numPr>
          <w:ilvl w:val="0"/>
          <w:numId w:val="1"/>
        </w:numPr>
      </w:pPr>
      <w:r>
        <w:t>Massachusetts</w:t>
      </w:r>
    </w:p>
    <w:p w14:paraId="0172E617" w14:textId="77777777" w:rsidR="00160841" w:rsidRDefault="00160841" w:rsidP="00160841">
      <w:pPr>
        <w:pStyle w:val="ListParagraph"/>
        <w:numPr>
          <w:ilvl w:val="0"/>
          <w:numId w:val="1"/>
        </w:numPr>
      </w:pPr>
      <w:r>
        <w:t>Montana</w:t>
      </w:r>
    </w:p>
    <w:p w14:paraId="2FF19EDA" w14:textId="77777777" w:rsidR="00160841" w:rsidRDefault="00160841" w:rsidP="00160841">
      <w:pPr>
        <w:pStyle w:val="ListParagraph"/>
        <w:numPr>
          <w:ilvl w:val="0"/>
          <w:numId w:val="1"/>
        </w:numPr>
      </w:pPr>
      <w:r>
        <w:t>New Hampshire</w:t>
      </w:r>
    </w:p>
    <w:p w14:paraId="6367E843" w14:textId="77777777" w:rsidR="00160841" w:rsidRDefault="00160841" w:rsidP="00160841">
      <w:pPr>
        <w:pStyle w:val="ListParagraph"/>
        <w:numPr>
          <w:ilvl w:val="0"/>
          <w:numId w:val="1"/>
        </w:numPr>
      </w:pPr>
      <w:r>
        <w:t>Pennsylvania</w:t>
      </w:r>
    </w:p>
    <w:p w14:paraId="24463A3B" w14:textId="77777777" w:rsidR="00EE29AE" w:rsidRDefault="00160841" w:rsidP="00160841">
      <w:pPr>
        <w:pStyle w:val="ListParagraph"/>
        <w:numPr>
          <w:ilvl w:val="0"/>
          <w:numId w:val="1"/>
        </w:numPr>
        <w:sectPr w:rsidR="00EE29AE" w:rsidSect="00EE29AE">
          <w:type w:val="continuous"/>
          <w:pgSz w:w="12240" w:h="15840"/>
          <w:pgMar w:top="1440" w:right="1440" w:bottom="1440" w:left="1440" w:header="720" w:footer="720" w:gutter="0"/>
          <w:cols w:num="2" w:space="720"/>
          <w:docGrid w:linePitch="360"/>
        </w:sectPr>
      </w:pPr>
      <w:r>
        <w:t>Washington</w:t>
      </w:r>
    </w:p>
    <w:p w14:paraId="3534AA2C" w14:textId="77777777" w:rsidR="001C59FD" w:rsidRDefault="001C59FD" w:rsidP="00160841"/>
    <w:p w14:paraId="4071316D" w14:textId="04F8C357" w:rsidR="00160841" w:rsidRDefault="006810D6" w:rsidP="00160841">
      <w:r>
        <w:t xml:space="preserve">In general, we have used the rule of thumb that if our interviewer is in a single party consent state, we simply need that person’s consent to record. </w:t>
      </w:r>
    </w:p>
    <w:p w14:paraId="5181FB76" w14:textId="77777777" w:rsidR="006810D6" w:rsidRDefault="006810D6" w:rsidP="006810D6">
      <w:pPr>
        <w:pStyle w:val="Heading2"/>
      </w:pPr>
      <w:r>
        <w:t>Risk</w:t>
      </w:r>
    </w:p>
    <w:p w14:paraId="0298C80B" w14:textId="77777777" w:rsidR="00815D95" w:rsidRDefault="00815D95" w:rsidP="00160841">
      <w:r>
        <w:t>In the case where either the interviewer or the respondent or both reside(s) in a two-party consent state, there is potential risk both to recording interviews without obtaining consent from both parties and to recording the administration of the consent to record screen.</w:t>
      </w:r>
    </w:p>
    <w:p w14:paraId="3A3F103C" w14:textId="77777777" w:rsidR="006810D6" w:rsidRDefault="006810D6" w:rsidP="00160841">
      <w:r>
        <w:t xml:space="preserve">In general, lawsuits have been very rare regarding recording laws. </w:t>
      </w:r>
      <w:r w:rsidR="008F4607">
        <w:t>A Lexis-Nexis search identified 327 cases total for violation of the 2-party consent laws, with a visual scan indicating most if not all were dismissed. But there is risk.</w:t>
      </w:r>
    </w:p>
    <w:p w14:paraId="205E9728" w14:textId="77777777" w:rsidR="006810D6" w:rsidRDefault="006810D6" w:rsidP="006810D6">
      <w:pPr>
        <w:pStyle w:val="Heading2"/>
      </w:pPr>
      <w:r>
        <w:t>SRO’s Position</w:t>
      </w:r>
    </w:p>
    <w:p w14:paraId="67D99D57" w14:textId="3B3F5380" w:rsidR="006810D6" w:rsidRDefault="00EE29AE" w:rsidP="00160841">
      <w:r>
        <w:t>To mitigate any risk when d</w:t>
      </w:r>
      <w:r w:rsidR="006810D6">
        <w:t>ial</w:t>
      </w:r>
      <w:r>
        <w:t>ing</w:t>
      </w:r>
      <w:r w:rsidR="006810D6">
        <w:t xml:space="preserve"> a respondent in a two-party consent state</w:t>
      </w:r>
      <w:r>
        <w:t>,</w:t>
      </w:r>
      <w:r w:rsidR="009A6C48">
        <w:t xml:space="preserve"> SRO proposes that projects follow a 2-step consent process </w:t>
      </w:r>
      <w:r w:rsidR="00CE1159">
        <w:t xml:space="preserve">if necessary </w:t>
      </w:r>
      <w:r w:rsidR="009A6C48">
        <w:t xml:space="preserve">for obtaining consent to record unless the </w:t>
      </w:r>
      <w:r w:rsidR="006810D6">
        <w:t>call</w:t>
      </w:r>
      <w:r w:rsidR="00D37AF0">
        <w:t>s</w:t>
      </w:r>
      <w:r w:rsidR="00837DBC">
        <w:t xml:space="preserve"> originate from an organizational network such as from the SSL, which </w:t>
      </w:r>
      <w:r w:rsidR="006810D6">
        <w:t>is governed by some slightly different laws.</w:t>
      </w:r>
      <w:r w:rsidR="009A6C48">
        <w:t xml:space="preserve"> This would take effect for new studies looking to start the IRB and programming process after December 2020.</w:t>
      </w:r>
    </w:p>
    <w:p w14:paraId="4FAB2399" w14:textId="49D16EF2" w:rsidR="009A6C48" w:rsidRDefault="009A6C48" w:rsidP="00160841">
      <w:r>
        <w:t xml:space="preserve">For the 2-step consent process, </w:t>
      </w:r>
      <w:r w:rsidR="00D659C9">
        <w:t>interviewers would first read a passive consent statement similar to the one currently used on the SCA project</w:t>
      </w:r>
      <w:r w:rsidR="00696034">
        <w:t>, but would allow interviewers to stop the recording if it were refused</w:t>
      </w:r>
      <w:r w:rsidR="00D659C9">
        <w:t>:</w:t>
      </w:r>
    </w:p>
    <w:p w14:paraId="6877CB1A" w14:textId="10EA1740" w:rsidR="00D659C9" w:rsidRDefault="00D659C9" w:rsidP="00D659C9">
      <w:pPr>
        <w:ind w:left="720"/>
      </w:pPr>
      <w:r>
        <w:rPr>
          <w:i/>
        </w:rPr>
        <w:lastRenderedPageBreak/>
        <w:t>This call may be recorded for quality assurance purposes</w:t>
      </w:r>
      <w:r>
        <w:t>.</w:t>
      </w:r>
    </w:p>
    <w:p w14:paraId="03C2B0BB" w14:textId="77777777" w:rsidR="00696034" w:rsidRPr="00D659C9" w:rsidRDefault="00696034" w:rsidP="00696034">
      <w:pPr>
        <w:ind w:left="720"/>
        <w:rPr>
          <w:i/>
        </w:rPr>
      </w:pPr>
      <w:r>
        <w:rPr>
          <w:i/>
        </w:rPr>
        <w:t>Continue/Continue without recording</w:t>
      </w:r>
    </w:p>
    <w:p w14:paraId="7F8A9D55" w14:textId="77777777" w:rsidR="00696034" w:rsidRPr="00D659C9" w:rsidRDefault="00696034" w:rsidP="00D659C9">
      <w:pPr>
        <w:ind w:left="720"/>
      </w:pPr>
    </w:p>
    <w:p w14:paraId="4703CD70" w14:textId="3655033D" w:rsidR="00D659C9" w:rsidRDefault="00CE1159" w:rsidP="00160841">
      <w:r>
        <w:t xml:space="preserve">If the IRB or a project requires, a project could add a second </w:t>
      </w:r>
      <w:r w:rsidR="00D659C9">
        <w:t xml:space="preserve">consent to record the </w:t>
      </w:r>
      <w:r w:rsidR="00D659C9" w:rsidRPr="00696034">
        <w:rPr>
          <w:b/>
        </w:rPr>
        <w:t>interview</w:t>
      </w:r>
      <w:r>
        <w:t xml:space="preserve"> after consent to participate has been given. </w:t>
      </w:r>
      <w:r w:rsidR="00696034">
        <w:t xml:space="preserve">Whether to field this would be up to the project. Also, a project might want to consider whether to re-ask if there was a refusal at the initial consent to record the call. </w:t>
      </w:r>
      <w:r>
        <w:t>For example</w:t>
      </w:r>
      <w:r w:rsidR="00D659C9">
        <w:t>:</w:t>
      </w:r>
    </w:p>
    <w:p w14:paraId="1EEE92C1" w14:textId="0ED4AEDC" w:rsidR="00D659C9" w:rsidRDefault="00D659C9" w:rsidP="00D659C9">
      <w:pPr>
        <w:ind w:left="720"/>
        <w:rPr>
          <w:rFonts w:cs="Arial"/>
          <w:i/>
          <w:color w:val="222222"/>
        </w:rPr>
      </w:pPr>
      <w:r w:rsidRPr="00D659C9">
        <w:rPr>
          <w:rFonts w:cs="Arial"/>
          <w:i/>
          <w:color w:val="222222"/>
        </w:rPr>
        <w:t>This interview may be recorded so that my supervisor can evaluate my performance.</w:t>
      </w:r>
    </w:p>
    <w:p w14:paraId="1044E1A0" w14:textId="306B219A" w:rsidR="00D659C9" w:rsidRPr="00D659C9" w:rsidRDefault="00D659C9" w:rsidP="00D659C9">
      <w:pPr>
        <w:ind w:left="720"/>
        <w:rPr>
          <w:i/>
        </w:rPr>
      </w:pPr>
      <w:r>
        <w:rPr>
          <w:i/>
        </w:rPr>
        <w:t>Continue/Continue without recording</w:t>
      </w:r>
    </w:p>
    <w:p w14:paraId="05C63F5F" w14:textId="07714F20" w:rsidR="00D659C9" w:rsidRDefault="00D659C9" w:rsidP="00160841">
      <w:r>
        <w:t xml:space="preserve">This will allow us to both meet the minimum threshold of </w:t>
      </w:r>
      <w:r w:rsidR="002E5707">
        <w:t>awareness of the recording and consent to record the actual interview. It will also allow us to capture a recording of both the consent to interview and the consent to record, and subsequently abandon the recording should the respondent refuse.</w:t>
      </w:r>
      <w:r w:rsidR="00CE1159">
        <w:t xml:space="preserve"> However, if there </w:t>
      </w:r>
      <w:proofErr w:type="gramStart"/>
      <w:r w:rsidR="00CE1159">
        <w:t>is</w:t>
      </w:r>
      <w:proofErr w:type="gramEnd"/>
      <w:r w:rsidR="00CE1159">
        <w:t xml:space="preserve"> no need for that second consent, we would advocate simply using the first consent to record.</w:t>
      </w:r>
    </w:p>
    <w:p w14:paraId="20F5207F" w14:textId="09D2F4B6" w:rsidR="007B5F93" w:rsidRDefault="007B5F93" w:rsidP="007B5F93">
      <w:pPr>
        <w:pStyle w:val="Heading2"/>
      </w:pPr>
      <w:r>
        <w:t>Recording Storage</w:t>
      </w:r>
    </w:p>
    <w:p w14:paraId="7D029892" w14:textId="065028DB" w:rsidR="007B5F93" w:rsidRDefault="007B5F93" w:rsidP="00160841">
      <w:r>
        <w:t>For IRB purposes, we want to capture two pieces of information</w:t>
      </w:r>
      <w:r w:rsidR="00217693">
        <w:t xml:space="preserve"> whenever a project records an interview</w:t>
      </w:r>
      <w:r>
        <w:t xml:space="preserve">: 1) that we have notified the respondent that the call may be </w:t>
      </w:r>
      <w:proofErr w:type="gramStart"/>
      <w:r>
        <w:t>recorded,</w:t>
      </w:r>
      <w:proofErr w:type="gramEnd"/>
      <w:r>
        <w:t xml:space="preserve"> and 2) consent to record the interview. If a respondent refuses consent to be recorded (the first step), we still want to retain that recording segment up to that point and no further. Similarly, if a respondent refuses to have the interview recorded, we want the recording of that refusal, but no further. This is helpful for both IRB and quality assurance purposes. However, if the recording has any questionnaire responses, it </w:t>
      </w:r>
      <w:proofErr w:type="gramStart"/>
      <w:r>
        <w:t>must be deleted</w:t>
      </w:r>
      <w:proofErr w:type="gramEnd"/>
      <w:r>
        <w:t xml:space="preserve"> in its entirety.</w:t>
      </w:r>
    </w:p>
    <w:p w14:paraId="45C1F189" w14:textId="77777777" w:rsidR="00D80600" w:rsidRDefault="00D80600" w:rsidP="00160841">
      <w:r>
        <w:t>If you have questions, please contact Grant Benson (</w:t>
      </w:r>
      <w:hyperlink r:id="rId5" w:history="1">
        <w:r w:rsidRPr="007932B7">
          <w:rPr>
            <w:rStyle w:val="Hyperlink"/>
          </w:rPr>
          <w:t>gdbenson@umich.edu</w:t>
        </w:r>
      </w:hyperlink>
      <w:r>
        <w:t>).</w:t>
      </w:r>
    </w:p>
    <w:sectPr w:rsidR="00D80600" w:rsidSect="00EE29A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21D5A"/>
    <w:multiLevelType w:val="hybridMultilevel"/>
    <w:tmpl w:val="6A5E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41"/>
    <w:rsid w:val="000F32B5"/>
    <w:rsid w:val="00160841"/>
    <w:rsid w:val="001C59FD"/>
    <w:rsid w:val="00217693"/>
    <w:rsid w:val="00280F01"/>
    <w:rsid w:val="002E5707"/>
    <w:rsid w:val="004B3063"/>
    <w:rsid w:val="00536F23"/>
    <w:rsid w:val="0054470F"/>
    <w:rsid w:val="00672A15"/>
    <w:rsid w:val="006810D6"/>
    <w:rsid w:val="00696034"/>
    <w:rsid w:val="007B5F93"/>
    <w:rsid w:val="007F6F15"/>
    <w:rsid w:val="00815D95"/>
    <w:rsid w:val="00837DBC"/>
    <w:rsid w:val="008F4607"/>
    <w:rsid w:val="009A6C48"/>
    <w:rsid w:val="00A76B04"/>
    <w:rsid w:val="00C13EE0"/>
    <w:rsid w:val="00C70744"/>
    <w:rsid w:val="00CE1159"/>
    <w:rsid w:val="00D37AF0"/>
    <w:rsid w:val="00D659C9"/>
    <w:rsid w:val="00D80600"/>
    <w:rsid w:val="00DA4A24"/>
    <w:rsid w:val="00E77CDB"/>
    <w:rsid w:val="00EE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98DE"/>
  <w15:chartTrackingRefBased/>
  <w15:docId w15:val="{D0D04CC7-7A09-4185-9B33-1643C5AB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08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0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8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6084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60841"/>
    <w:pPr>
      <w:ind w:left="720"/>
      <w:contextualSpacing/>
    </w:pPr>
  </w:style>
  <w:style w:type="character" w:styleId="Hyperlink">
    <w:name w:val="Hyperlink"/>
    <w:basedOn w:val="DefaultParagraphFont"/>
    <w:uiPriority w:val="99"/>
    <w:unhideWhenUsed/>
    <w:rsid w:val="00D80600"/>
    <w:rPr>
      <w:color w:val="0563C1" w:themeColor="hyperlink"/>
      <w:u w:val="single"/>
    </w:rPr>
  </w:style>
  <w:style w:type="character" w:styleId="CommentReference">
    <w:name w:val="annotation reference"/>
    <w:basedOn w:val="DefaultParagraphFont"/>
    <w:uiPriority w:val="99"/>
    <w:semiHidden/>
    <w:unhideWhenUsed/>
    <w:rsid w:val="00815D95"/>
    <w:rPr>
      <w:sz w:val="16"/>
      <w:szCs w:val="16"/>
    </w:rPr>
  </w:style>
  <w:style w:type="paragraph" w:styleId="CommentText">
    <w:name w:val="annotation text"/>
    <w:basedOn w:val="Normal"/>
    <w:link w:val="CommentTextChar"/>
    <w:uiPriority w:val="99"/>
    <w:semiHidden/>
    <w:unhideWhenUsed/>
    <w:rsid w:val="00815D95"/>
    <w:pPr>
      <w:spacing w:line="240" w:lineRule="auto"/>
    </w:pPr>
    <w:rPr>
      <w:sz w:val="20"/>
      <w:szCs w:val="20"/>
    </w:rPr>
  </w:style>
  <w:style w:type="character" w:customStyle="1" w:styleId="CommentTextChar">
    <w:name w:val="Comment Text Char"/>
    <w:basedOn w:val="DefaultParagraphFont"/>
    <w:link w:val="CommentText"/>
    <w:uiPriority w:val="99"/>
    <w:semiHidden/>
    <w:rsid w:val="00815D95"/>
    <w:rPr>
      <w:sz w:val="20"/>
      <w:szCs w:val="20"/>
    </w:rPr>
  </w:style>
  <w:style w:type="paragraph" w:styleId="CommentSubject">
    <w:name w:val="annotation subject"/>
    <w:basedOn w:val="CommentText"/>
    <w:next w:val="CommentText"/>
    <w:link w:val="CommentSubjectChar"/>
    <w:uiPriority w:val="99"/>
    <w:semiHidden/>
    <w:unhideWhenUsed/>
    <w:rsid w:val="00815D95"/>
    <w:rPr>
      <w:b/>
      <w:bCs/>
    </w:rPr>
  </w:style>
  <w:style w:type="character" w:customStyle="1" w:styleId="CommentSubjectChar">
    <w:name w:val="Comment Subject Char"/>
    <w:basedOn w:val="CommentTextChar"/>
    <w:link w:val="CommentSubject"/>
    <w:uiPriority w:val="99"/>
    <w:semiHidden/>
    <w:rsid w:val="00815D95"/>
    <w:rPr>
      <w:b/>
      <w:bCs/>
      <w:sz w:val="20"/>
      <w:szCs w:val="20"/>
    </w:rPr>
  </w:style>
  <w:style w:type="paragraph" w:styleId="BalloonText">
    <w:name w:val="Balloon Text"/>
    <w:basedOn w:val="Normal"/>
    <w:link w:val="BalloonTextChar"/>
    <w:uiPriority w:val="99"/>
    <w:semiHidden/>
    <w:unhideWhenUsed/>
    <w:rsid w:val="00815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3137">
      <w:bodyDiv w:val="1"/>
      <w:marLeft w:val="0"/>
      <w:marRight w:val="0"/>
      <w:marTop w:val="0"/>
      <w:marBottom w:val="0"/>
      <w:divBdr>
        <w:top w:val="none" w:sz="0" w:space="0" w:color="auto"/>
        <w:left w:val="none" w:sz="0" w:space="0" w:color="auto"/>
        <w:bottom w:val="none" w:sz="0" w:space="0" w:color="auto"/>
        <w:right w:val="none" w:sz="0" w:space="0" w:color="auto"/>
      </w:divBdr>
      <w:divsChild>
        <w:div w:id="2051491558">
          <w:marLeft w:val="0"/>
          <w:marRight w:val="0"/>
          <w:marTop w:val="0"/>
          <w:marBottom w:val="0"/>
          <w:divBdr>
            <w:top w:val="none" w:sz="0" w:space="0" w:color="auto"/>
            <w:left w:val="none" w:sz="0" w:space="0" w:color="auto"/>
            <w:bottom w:val="none" w:sz="0" w:space="0" w:color="auto"/>
            <w:right w:val="none" w:sz="0" w:space="0" w:color="auto"/>
          </w:divBdr>
        </w:div>
        <w:div w:id="238097540">
          <w:marLeft w:val="0"/>
          <w:marRight w:val="0"/>
          <w:marTop w:val="0"/>
          <w:marBottom w:val="0"/>
          <w:divBdr>
            <w:top w:val="none" w:sz="0" w:space="0" w:color="auto"/>
            <w:left w:val="none" w:sz="0" w:space="0" w:color="auto"/>
            <w:bottom w:val="none" w:sz="0" w:space="0" w:color="auto"/>
            <w:right w:val="none" w:sz="0" w:space="0" w:color="auto"/>
          </w:divBdr>
        </w:div>
        <w:div w:id="381754875">
          <w:marLeft w:val="0"/>
          <w:marRight w:val="0"/>
          <w:marTop w:val="0"/>
          <w:marBottom w:val="0"/>
          <w:divBdr>
            <w:top w:val="none" w:sz="0" w:space="0" w:color="auto"/>
            <w:left w:val="none" w:sz="0" w:space="0" w:color="auto"/>
            <w:bottom w:val="none" w:sz="0" w:space="0" w:color="auto"/>
            <w:right w:val="none" w:sz="0" w:space="0" w:color="auto"/>
          </w:divBdr>
        </w:div>
        <w:div w:id="1021593836">
          <w:marLeft w:val="0"/>
          <w:marRight w:val="0"/>
          <w:marTop w:val="0"/>
          <w:marBottom w:val="0"/>
          <w:divBdr>
            <w:top w:val="none" w:sz="0" w:space="0" w:color="auto"/>
            <w:left w:val="none" w:sz="0" w:space="0" w:color="auto"/>
            <w:bottom w:val="none" w:sz="0" w:space="0" w:color="auto"/>
            <w:right w:val="none" w:sz="0" w:space="0" w:color="auto"/>
          </w:divBdr>
        </w:div>
        <w:div w:id="835262775">
          <w:marLeft w:val="0"/>
          <w:marRight w:val="0"/>
          <w:marTop w:val="0"/>
          <w:marBottom w:val="0"/>
          <w:divBdr>
            <w:top w:val="none" w:sz="0" w:space="0" w:color="auto"/>
            <w:left w:val="none" w:sz="0" w:space="0" w:color="auto"/>
            <w:bottom w:val="none" w:sz="0" w:space="0" w:color="auto"/>
            <w:right w:val="none" w:sz="0" w:space="0" w:color="auto"/>
          </w:divBdr>
        </w:div>
        <w:div w:id="1855537250">
          <w:marLeft w:val="0"/>
          <w:marRight w:val="0"/>
          <w:marTop w:val="0"/>
          <w:marBottom w:val="0"/>
          <w:divBdr>
            <w:top w:val="none" w:sz="0" w:space="0" w:color="auto"/>
            <w:left w:val="none" w:sz="0" w:space="0" w:color="auto"/>
            <w:bottom w:val="none" w:sz="0" w:space="0" w:color="auto"/>
            <w:right w:val="none" w:sz="0" w:space="0" w:color="auto"/>
          </w:divBdr>
        </w:div>
        <w:div w:id="10493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dbenson@umi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Benson</dc:creator>
  <cp:keywords/>
  <dc:description/>
  <cp:lastModifiedBy>Grant Benson</cp:lastModifiedBy>
  <cp:revision>5</cp:revision>
  <cp:lastPrinted>2020-10-07T12:48:00Z</cp:lastPrinted>
  <dcterms:created xsi:type="dcterms:W3CDTF">2021-09-17T15:52:00Z</dcterms:created>
  <dcterms:modified xsi:type="dcterms:W3CDTF">2021-09-22T13:25:00Z</dcterms:modified>
</cp:coreProperties>
</file>